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3" w:rsidRPr="00FA10E4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10E4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FA10E4" w:rsidTr="003E47B0">
        <w:tc>
          <w:tcPr>
            <w:tcW w:w="421" w:type="dxa"/>
            <w:shd w:val="clear" w:color="auto" w:fill="auto"/>
          </w:tcPr>
          <w:p w:rsidR="004C33B3" w:rsidRPr="00FA10E4" w:rsidRDefault="004C33B3">
            <w:pPr>
              <w:rPr>
                <w:rFonts w:ascii="Times New Roman" w:hAnsi="Times New Roman"/>
                <w:sz w:val="26"/>
                <w:szCs w:val="26"/>
              </w:rPr>
            </w:pPr>
            <w:r w:rsidRPr="00FA10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FA10E4" w:rsidRDefault="004C33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A10E4">
              <w:rPr>
                <w:rFonts w:ascii="Times New Roman" w:hAnsi="Times New Roman"/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FA10E4" w:rsidRPr="003617CD" w:rsidRDefault="005132BD" w:rsidP="00CB1513">
            <w:pPr>
              <w:pStyle w:val="a6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НАВЧАЛЬНО-ТРЕНУВАЛЬНИЙ КОМПЛЕКС «ШКОЛА-FPV» «ДК 021:2015: 35740000-3 Симулятори бойових дій»</w:t>
            </w:r>
          </w:p>
        </w:tc>
      </w:tr>
      <w:tr w:rsidR="00B34598" w:rsidRPr="00FA10E4" w:rsidTr="003E47B0">
        <w:tc>
          <w:tcPr>
            <w:tcW w:w="421" w:type="dxa"/>
            <w:shd w:val="clear" w:color="auto" w:fill="auto"/>
          </w:tcPr>
          <w:p w:rsidR="00B34598" w:rsidRPr="00FA10E4" w:rsidRDefault="00B345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34598" w:rsidRPr="00FA10E4" w:rsidRDefault="00B34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Процедура закупівлі</w:t>
            </w:r>
          </w:p>
        </w:tc>
        <w:tc>
          <w:tcPr>
            <w:tcW w:w="6145" w:type="dxa"/>
            <w:shd w:val="clear" w:color="auto" w:fill="auto"/>
          </w:tcPr>
          <w:p w:rsidR="00B34598" w:rsidRPr="00FA10E4" w:rsidRDefault="005132BD" w:rsidP="0030529D">
            <w:pPr>
              <w:pStyle w:val="a6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FF6B8F">
              <w:rPr>
                <w:rFonts w:ascii="Times New Roman" w:eastAsia="Times New Roman" w:hAnsi="Times New Roman"/>
                <w:color w:val="000000"/>
              </w:rPr>
              <w:t xml:space="preserve">відкриті </w:t>
            </w:r>
            <w:r w:rsidRPr="00FF6B8F">
              <w:rPr>
                <w:rFonts w:ascii="Times New Roman" w:eastAsia="Times New Roman" w:hAnsi="Times New Roman"/>
              </w:rPr>
              <w:t>торги (з особливостями)</w:t>
            </w:r>
          </w:p>
        </w:tc>
      </w:tr>
      <w:tr w:rsidR="00B34598" w:rsidRPr="00FA10E4" w:rsidTr="003E47B0">
        <w:tc>
          <w:tcPr>
            <w:tcW w:w="421" w:type="dxa"/>
            <w:shd w:val="clear" w:color="auto" w:fill="auto"/>
          </w:tcPr>
          <w:p w:rsidR="00B34598" w:rsidRDefault="00B34598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B34598" w:rsidRDefault="00B34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B34598">
              <w:rPr>
                <w:rFonts w:ascii="Times New Roman" w:hAnsi="Times New Roman"/>
                <w:b/>
                <w:sz w:val="26"/>
                <w:szCs w:val="26"/>
              </w:rPr>
              <w:t>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B34598" w:rsidRPr="00E6691F" w:rsidRDefault="00E6691F" w:rsidP="0030529D">
            <w:pPr>
              <w:pStyle w:val="a6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669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UA-2024-12-07-001125-a</w:t>
            </w:r>
          </w:p>
        </w:tc>
      </w:tr>
      <w:bookmarkEnd w:id="0"/>
      <w:tr w:rsidR="00BE4564" w:rsidRPr="00BE4564" w:rsidTr="003E47B0">
        <w:tc>
          <w:tcPr>
            <w:tcW w:w="421" w:type="dxa"/>
            <w:shd w:val="clear" w:color="auto" w:fill="auto"/>
          </w:tcPr>
          <w:p w:rsidR="00BE4564" w:rsidRPr="00FA10E4" w:rsidRDefault="00BE4564" w:rsidP="008C382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BE4564" w:rsidRPr="00BE4564" w:rsidRDefault="00BE4564" w:rsidP="008C3821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37752" w:rsidRPr="005132BD" w:rsidRDefault="00A21F20" w:rsidP="00A21F2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Закупівля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для </w:t>
            </w:r>
            <w:proofErr w:type="spellStart"/>
            <w:r w:rsidRPr="001B7DFD">
              <w:t>забезпечення</w:t>
            </w:r>
            <w:proofErr w:type="spellEnd"/>
            <w:r w:rsidRPr="001B7DFD">
              <w:t xml:space="preserve"> </w:t>
            </w:r>
            <w:proofErr w:type="spellStart"/>
            <w:r w:rsidRPr="001B7DFD">
              <w:t>належних</w:t>
            </w:r>
            <w:proofErr w:type="spellEnd"/>
            <w:r w:rsidRPr="001B7DFD">
              <w:t xml:space="preserve"> умов </w:t>
            </w:r>
            <w:r w:rsidR="005132BD">
              <w:rPr>
                <w:lang w:val="uk-UA"/>
              </w:rPr>
              <w:t>навчання студенті</w:t>
            </w:r>
            <w:proofErr w:type="gramStart"/>
            <w:r w:rsidR="005132BD">
              <w:rPr>
                <w:lang w:val="uk-UA"/>
              </w:rPr>
              <w:t>в</w:t>
            </w:r>
            <w:proofErr w:type="gramEnd"/>
            <w:r w:rsidR="005132BD">
              <w:rPr>
                <w:lang w:val="uk-UA"/>
              </w:rPr>
              <w:t xml:space="preserve"> за навчальною програмою «Захист України»</w:t>
            </w:r>
          </w:p>
          <w:p w:rsidR="005132BD" w:rsidRDefault="00A21F20" w:rsidP="00A21F2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uk-UA"/>
              </w:rPr>
            </w:pP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 </w:t>
            </w:r>
            <w:r w:rsidR="005132BD" w:rsidRPr="007E08BC">
              <w:rPr>
                <w:rFonts w:eastAsiaTheme="minorHAnsi"/>
                <w:lang w:val="uk-UA"/>
              </w:rPr>
              <w:t>НАВЧАЛЬНО-ТРЕНУВАЛЬНИЙ КОМПЛЕКС «ШКОЛА-</w:t>
            </w:r>
            <w:proofErr w:type="gramStart"/>
            <w:r w:rsidR="005132BD" w:rsidRPr="007E08BC">
              <w:rPr>
                <w:rFonts w:eastAsiaTheme="minorHAnsi"/>
                <w:lang w:val="uk-UA"/>
              </w:rPr>
              <w:t>FPV</w:t>
            </w:r>
            <w:proofErr w:type="gramEnd"/>
            <w:r w:rsidR="005132BD" w:rsidRPr="007E08BC">
              <w:rPr>
                <w:rFonts w:eastAsiaTheme="minorHAnsi"/>
                <w:lang w:val="uk-UA"/>
              </w:rPr>
              <w:t>»</w:t>
            </w:r>
            <w:r w:rsidR="005132BD">
              <w:rPr>
                <w:rFonts w:eastAsiaTheme="minorHAnsi"/>
                <w:lang w:val="uk-UA"/>
              </w:rPr>
              <w:t xml:space="preserve"> -1 комплект.</w:t>
            </w:r>
          </w:p>
          <w:p w:rsidR="00167C09" w:rsidRDefault="00A21F20" w:rsidP="00A21F2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proofErr w:type="gramStart"/>
            <w:r>
              <w:t>Техн</w:t>
            </w:r>
            <w:proofErr w:type="gramEnd"/>
            <w:r>
              <w:t>ічні</w:t>
            </w:r>
            <w:proofErr w:type="spellEnd"/>
            <w:r w:rsidR="00937752">
              <w:rPr>
                <w:lang w:val="uk-UA"/>
              </w:rPr>
              <w:t xml:space="preserve"> </w:t>
            </w:r>
            <w:r>
              <w:t xml:space="preserve">та </w:t>
            </w:r>
            <w:proofErr w:type="spellStart"/>
            <w:r>
              <w:t>якісні</w:t>
            </w:r>
            <w:proofErr w:type="spellEnd"/>
            <w:r>
              <w:t xml:space="preserve"> характеристики предмета </w:t>
            </w:r>
            <w:proofErr w:type="spellStart"/>
            <w:r>
              <w:t>закупівлі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потреб </w:t>
            </w:r>
            <w:proofErr w:type="spellStart"/>
            <w:r>
              <w:t>замовника</w:t>
            </w:r>
            <w:proofErr w:type="spellEnd"/>
            <w:r>
              <w:t xml:space="preserve"> та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>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Персональний комп’ютер вчителя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E0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 такими характеристиками: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Процесор INTEL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™ не нижче i5 не нижче  13 покоління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Оперативна пам'ять не менше 16GB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Накопичувач SSD не менше 512 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Відеокарта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SAPPHIRE RX 550 PULSE не менше 4GB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Попередньо встановлена Windows 10 PRO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Ліцензійне програмне забезпечення (польотний симулятор)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LiftOFF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на 1 користувача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Монітор 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не гірше IPS не менше 23.8"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Клавіатура та маніпулятор миша 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Радіопульт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 управління FPV 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Діапазон частот: не гірше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Система 2.4G: CC2500/SX1280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Канали: не менше 8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Підтримувані протоколи: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Futaba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S-FHSS/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FCC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LBT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D8,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ExpressLRS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Типи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Багтороторники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, Літаки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Підтримка зарядки через USB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Підтримка BETAFPV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Configurator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Батарея: Вбудована батарея на не менше 2000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Роз'єм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для зарядки: USB 3.0 Type-C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Інтерактивна панель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  - 2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Діагональ: не менше 65"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Роздільна здатність екрану: не менше 4K UHD 3840 × 2160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пікселів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Яскравість не менше 350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кд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/м2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Дотикова технологія управління контентом за допомогою дотиків пальців руки або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стилуса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/маркера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Вбудована акустична система не менше 2 х 15W 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Інтерфейси(не менше):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Фронтальна панель: HDMI 2.0, USB 2.0, USB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Touch</w:t>
            </w:r>
            <w:proofErr w:type="spellEnd"/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Задня та/або бокова панелі: HDMI 2.0, USB 2.0, USB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Touch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  <w:proofErr w:type="spellEnd"/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Відповідність стандарту енергоефективності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EnergyStar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(підтвердити посиланням на відповідний сайт)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Наявність будованого лотку для ручок на всю довжину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Можливість стирання долонею тексту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 комплектацію панелі повинні входити: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Мобільна стійка для панелі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Наявний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вбудовуваний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комп’ютер того ж виробника,  що і інтерактивна панель. На базі процесора не нижче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Іntel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і7 не нижче 12-го покоління, операційної пам’яті не менше 8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, вбудованої пам’яті не менше SSD 512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Предінстальована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виробником операційна система Windows 10. Також повинно бути попередньо встановлене спеціалізоване програмне забезпечення навчального призначення з такими технічними характеристиками та вимогами: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бути українською мовою з можливістю створення інтерактивних уроків, функцією інтерактивного класу з можливістю бездротового підключення комп’ютерів або планшетів учнів до комп’ютера вчителя; для перевірки цього, а також відповідності вимог до програмного забезпечення учасник повинен передати замовнику у складі пропозиції посилання для завантаження пробної версії терміном дії не менше ніж 14 днів цього програмного забезпечення, а також надати у склад пропозиції посилання на офіційний сайт виробника спеціалізованого програмного забезпечення навчального призначення та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авторизаційний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лист від розробника або дистриб’ютора розробника цього програмного забезпечення з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вказанням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назви замовника та номеру закупівлі. У разі надання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авторизаційного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листа дистриб'ютором, надати посилання на офіційний сайт розробника для можливості перевірки інформації щодо наявності партнера в Україні.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Пакет програмного забезпечення повинно мати бібліотеки з 3D моделей для вивчення природничих наук для викладача.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Зміст програмного забезпечення: Програмне забезпечення повинно бути призначене для вивчення наступних розділів: анатомія людини, астрономія, ботаніка, зоологія, механіка, мікробіологія, наука про землю, палеонтологія і хімія.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мати інтерфейс і весь навчальний контент не менше ніж українською та англійською мовами. Програмне забезпечення повинно мати можливість роботи в 3 режимах: анімації, дослідження і слайди, в яких повинна бути можливість 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включення звукового супроводу. Звуковий супровід має бути не менше ніж українською та англійською мовами. Закадровий голос в звуковому супроводі повинен озвучувати текст, що відноситься до демонстрованої моделі, при цьому розповідаючи принцип роботи і структуру моделей і анімації. Пакет програмного забезпечення надається у вигляді підписки терміном не менше ніж на 1 рік.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працювати на операційних системах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Android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та Windows, повинно бути доступним для завантаження на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майданчику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Google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Play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Market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та на сайті виробника. Для перевірки відповідності пропонованого програмного забезпечення (таких як працездатність на платформах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Android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та Windows, наявність необхідного функціоналу по роботі з моделями, наявність декількох моделей для перевірки відповідності тощо)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включати в себе навчальні матеріали не менш ніж за такими розділами: - Анатомія людини; Астрономія; Ботаніка; Механіка; Фізика; Мікробіологія; Палеонтологія; Хімія; Наука про Землю; Географія – всього не менше 1000 3D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візауалізацій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тем з відповідних дисциплін.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Весь навчальний контент і об'єкти, що містяться в програмному забезпеченні, повинні бути в тривимірному просторі і мати опис кожної деталі при натисканні на відповідні кнопки. Характеристики 3D об'єктів: Всі 3D об'єкти, що використовуються в програмному забезпеченні повинні мати можливість: розділятися на об'єкти, на його складові, мати опис життєвого / фізичного процесу і внутрішньої будови, збільшуватися і зменшуватися.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Функціональні характеристики програмного забезпечення: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Програмне забезпечення повинно працювати і управлятися сенсорним екраном інтерактивної панелі;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Програмне забезпечення повинно мати можливість створювати тестові питання для користувачів з різними варіантами відповідей в лекційних слайдах, які дозволяють вивчати кожну деталь об'єктів.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Програмне забезпечення повинно мати функцію створення поурочного плану. Користувач повинен мати можливість перемикатися з режиму редактора в режим користувача і навпаки.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Користувач повинен мати можливість створювати лекційні слайди і зберігати свій роботи на локальному комп'ютері. При переході з одного слайда до іншого, 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програмне забезпечення повинно мати можливість автоматичної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синхронізацій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слайдів і 3D об'єктів (положення, вид, позначення);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Програмне забезпечення повинно мати можливість відображення вкладок основного меню: Категорії, Бібліотеки та Університет. Всі доступні моделі і анімації повинні бути відображені відповідному у розділі Категорії. Всередині розділу Бібліотеки моделі, анімації та курси повинні бути розподілені таким чином, щоб тема моделі відповідала програмі навчання для певного класу, затвердженого Міністерством освіти і науки України.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Гарантія на панель не менше 3 (трьох) років. Замовник повинен мати можливість зареєструвати серійний номер на сайті виробника і можливість перевірити підтвердження наданої гарантії. Для перевірки учасник повинен надати посилання на відповідний сайт з прикладом не менше 3х серійних номерів.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Також учасник повинен надати у складі пропозиції: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авторизаційний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лист від виробника або дистриб’ютора виробника інтерактивної панелі в якому повинно бути вказано назва замовника та номеру закупівлі. У разі надання листа від представництва виробника або дистриб’ютора надати документальне підтвердження взаємовідносин з виробником або посилання на сайт виробника, що підтверджує наявність дистриб’ютора в Україні.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Висновок державної санітарно-епідеміологічної експертизи на інтерактивну дошку, що пропонуватиме учасник.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Посібник з початку роботи в якому повинно бути у тому числі описано усі можливості панелі та додаткові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опціональні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покращення.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Персональний комп’ютер учня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E08B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з такими характеристиками: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Процесор INTEL </w:t>
            </w:r>
            <w:proofErr w:type="spellStart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Core</w:t>
            </w:r>
            <w:proofErr w:type="spellEnd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™ не нижче i3 не нижче  10 покоління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Оперативна пам'ять не менше 8GB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Накопичувач SSD не менше 256 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Відеокарта</w:t>
            </w:r>
            <w:proofErr w:type="spellEnd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GIGABYTE GV-N1030D4 не менше 2GB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Попередньо встановлена Windows 10 PRO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Ліцензійне програмне забезпечення (польотний симулятор) </w:t>
            </w:r>
            <w:proofErr w:type="spellStart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LiftOFF</w:t>
            </w:r>
            <w:proofErr w:type="spellEnd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учня на 1 користувача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Монітор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не гірше IPS не менше 21,5"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Клавіатура та маніпулятор миша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Радіопульт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 управління FPV 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Діапазон частот: не гірше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Система 2.4G: CC2500/SX1280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Канали: не менше 8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Підтримувані протоколи: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Futaba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S-FHSS/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FCC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LBT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D8,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ExpressLRS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Типи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Багтороторники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, Літаки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Підтримка зарядки через USB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Підтримка BETAFPV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Configurator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Батарея: Вбудована батарея на не менше 2000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Роз'єм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для зарядки: USB 3.0 Type-C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Квадрокоптер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, який має такі технічні характеристики: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позиціонування: оптичний потік / барометр / лазер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Позиціонування по висоті: лазер / барометр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приймача: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 або аналог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Контролер польоту: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Lite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Pro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матовий FC або аналог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Передавач: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Передавач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Literaio2 SE або аналог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діапазон частот: не гірше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Система 2.4G: не гірше CC2500/SX1280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Канали: не менше 8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Підтримувані протоколи: не менше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Futaba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S-FHSS/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FCC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LBT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D8,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ExpressLRS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Двигун: Безколекторні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живлення: 1S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Акумулятор: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Акумулятор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BT2.0 не менше 300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 (зовнішній)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Дальність польоту: не менше 80 м (в широкому і спокійному середовищі)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FPV окуляри повинні мати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слот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Micro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SD, який дозволяють зберігати відео з записом DVR.</w:t>
            </w:r>
          </w:p>
          <w:p w:rsidR="005132BD" w:rsidRPr="003617CD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Комплектація </w:t>
            </w:r>
            <w:proofErr w:type="spellStart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>квадрокоптера</w:t>
            </w:r>
            <w:proofErr w:type="spellEnd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менше </w:t>
            </w:r>
            <w:proofErr w:type="spellStart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>шт</w:t>
            </w:r>
            <w:proofErr w:type="spellEnd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22 -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Квадрокоптер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(версія з контролером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політів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не гірше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Cetus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FC)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Окуляри FPV окуляри VR02 або краще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44 - Акумулятори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LiPo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BT2.0 не менше 300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22 - Радіопередавач LiteRadio2 SE (протокол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D8)  або краще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Зарядний пристрій і вольтметр для акумулятора BT2.0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Кабель для зарядки USB (Type-C)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Портативна сумка для зберігання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22 –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Стереогарнітура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Комплект для збірки карбонової рами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мультикоптеру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7 або 9 дюймів із достатньою кількістю гвинтів, стійок, кріплень для збірки відповідного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Польотний контролер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Електронний регулятор ходу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Мотори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мультикоптеру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по кількості посадочних місць на рамі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10 - FPV Відеокамера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Відеопередавач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Антена відеосигналу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Приймач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Пропелери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GPS модуль за необхідності реалізації функції повернення додому або функції пошуку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[RC4]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Пищалка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для пошуку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за необхідності, для виконання тестових польотів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Акумулятор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мультикоптеру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FPV відео гарнітура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Пульт керування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Захисні окуляри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Ручні інструменти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Інструмент для фіксації плат при паянні «третя рука»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Термоповітряна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паяльна станція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Розхідні матеріали для пайки:</w:t>
            </w:r>
            <w:r w:rsidRPr="007E0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Флюс Олово, Паяльна паста, Рідина для змиття флюсу, Стрічка для зняття олова, Силіконовий килимок для пайки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20 - Витратні матеріали: Електромонтажні стяжки, захисне обплетення, ізоляційна стрічка.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100 - Макетні плати для пайки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Світлодіоди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, проводи, інша дрібна електроніка для тренування навичок пайки комплект в достатній кількості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6 - Настільна витяжка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Павербанк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на 30000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Mah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або більше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66 - Додаткові батарея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450mAh 75C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Battery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(комплект із 2шт.)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Роутер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TP-Link або аналог</w:t>
            </w:r>
          </w:p>
          <w:p w:rsidR="00A21F20" w:rsidRPr="00937752" w:rsidRDefault="005132BD" w:rsidP="005132BD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4 - Килимок для зльоту та посадки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</w:p>
        </w:tc>
      </w:tr>
      <w:tr w:rsidR="00167C09" w:rsidRPr="00BE4564" w:rsidTr="00167C09">
        <w:trPr>
          <w:trHeight w:val="2420"/>
        </w:trPr>
        <w:tc>
          <w:tcPr>
            <w:tcW w:w="421" w:type="dxa"/>
            <w:shd w:val="clear" w:color="auto" w:fill="auto"/>
          </w:tcPr>
          <w:p w:rsidR="00167C09" w:rsidRPr="00FA10E4" w:rsidRDefault="00167C09" w:rsidP="008C38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10" w:type="dxa"/>
            <w:shd w:val="clear" w:color="auto" w:fill="auto"/>
          </w:tcPr>
          <w:p w:rsidR="00167C09" w:rsidRPr="00FA10E4" w:rsidRDefault="00167C09" w:rsidP="008C382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A10E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shd w:val="clear" w:color="auto" w:fill="auto"/>
          </w:tcPr>
          <w:p w:rsidR="00937752" w:rsidRDefault="00167C09" w:rsidP="008C382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Сума затверджених видатків: </w:t>
            </w:r>
            <w:r w:rsidR="003617CD">
              <w:rPr>
                <w:rFonts w:ascii="Times New Roman" w:hAnsi="Times New Roman"/>
                <w:sz w:val="26"/>
                <w:szCs w:val="26"/>
                <w:lang w:eastAsia="ru-RU"/>
              </w:rPr>
              <w:t>1260000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грн.</w:t>
            </w:r>
          </w:p>
          <w:p w:rsidR="00937752" w:rsidRDefault="00167C09" w:rsidP="009377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лютого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2020 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р.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№ 275 за методом порівняння ринкових цін, зокрема шляхом пошуку та збору інформації про ціну</w:t>
            </w:r>
            <w:r w:rsidR="002F6A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17C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такого комплекту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 даними </w:t>
            </w:r>
            <w:proofErr w:type="spellStart"/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>і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нтернет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ресурсів</w:t>
            </w:r>
            <w:proofErr w:type="spellEnd"/>
            <w:r w:rsidR="003617C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 проведення ринкових переговорів з постачальниками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167C09" w:rsidRPr="00FA10E4" w:rsidRDefault="00937752" w:rsidP="009377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167C09"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чікуван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167C09"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варт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ість</w:t>
            </w:r>
            <w:r w:rsidR="00167C09"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ціни за одиницю розраховано як середньоарифметичне значення отриманих даних</w:t>
            </w:r>
          </w:p>
        </w:tc>
      </w:tr>
    </w:tbl>
    <w:p w:rsidR="004C33B3" w:rsidRPr="00BE4564" w:rsidRDefault="004C33B3">
      <w:pPr>
        <w:rPr>
          <w:rFonts w:ascii="Times New Roman" w:hAnsi="Times New Roman"/>
          <w:sz w:val="26"/>
          <w:szCs w:val="26"/>
          <w:lang w:eastAsia="ru-RU"/>
        </w:rPr>
      </w:pPr>
    </w:p>
    <w:sectPr w:rsidR="004C33B3" w:rsidRPr="00BE4564" w:rsidSect="00F91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EE"/>
    <w:rsid w:val="000273D1"/>
    <w:rsid w:val="000803F7"/>
    <w:rsid w:val="000A65F7"/>
    <w:rsid w:val="000C4F4F"/>
    <w:rsid w:val="001345F0"/>
    <w:rsid w:val="001661D1"/>
    <w:rsid w:val="00167C09"/>
    <w:rsid w:val="00175D5D"/>
    <w:rsid w:val="00264EC9"/>
    <w:rsid w:val="002D35CD"/>
    <w:rsid w:val="002E79F9"/>
    <w:rsid w:val="002F6A30"/>
    <w:rsid w:val="0030529D"/>
    <w:rsid w:val="0034511D"/>
    <w:rsid w:val="00354CC1"/>
    <w:rsid w:val="003604B2"/>
    <w:rsid w:val="003617CD"/>
    <w:rsid w:val="003D0F8C"/>
    <w:rsid w:val="003E47B0"/>
    <w:rsid w:val="004C33B3"/>
    <w:rsid w:val="004C5BB4"/>
    <w:rsid w:val="004E604C"/>
    <w:rsid w:val="00511CE8"/>
    <w:rsid w:val="005132BD"/>
    <w:rsid w:val="005610A7"/>
    <w:rsid w:val="00597E08"/>
    <w:rsid w:val="005A1CEE"/>
    <w:rsid w:val="005A641B"/>
    <w:rsid w:val="00616614"/>
    <w:rsid w:val="006505D0"/>
    <w:rsid w:val="00671B8B"/>
    <w:rsid w:val="006806BA"/>
    <w:rsid w:val="006C7805"/>
    <w:rsid w:val="007B66E2"/>
    <w:rsid w:val="00830719"/>
    <w:rsid w:val="00830A0A"/>
    <w:rsid w:val="00846AC4"/>
    <w:rsid w:val="008934D2"/>
    <w:rsid w:val="009054DD"/>
    <w:rsid w:val="00923200"/>
    <w:rsid w:val="00937752"/>
    <w:rsid w:val="00961F21"/>
    <w:rsid w:val="00A03BB9"/>
    <w:rsid w:val="00A21F20"/>
    <w:rsid w:val="00A43E84"/>
    <w:rsid w:val="00A525A9"/>
    <w:rsid w:val="00B25122"/>
    <w:rsid w:val="00B34598"/>
    <w:rsid w:val="00B63331"/>
    <w:rsid w:val="00B83E44"/>
    <w:rsid w:val="00BB5FC2"/>
    <w:rsid w:val="00BE20F4"/>
    <w:rsid w:val="00BE4564"/>
    <w:rsid w:val="00C20F57"/>
    <w:rsid w:val="00C3706A"/>
    <w:rsid w:val="00C64801"/>
    <w:rsid w:val="00CB1513"/>
    <w:rsid w:val="00CE50F1"/>
    <w:rsid w:val="00D213F7"/>
    <w:rsid w:val="00D83CCE"/>
    <w:rsid w:val="00D92410"/>
    <w:rsid w:val="00E23BB6"/>
    <w:rsid w:val="00E6691F"/>
    <w:rsid w:val="00E82EA6"/>
    <w:rsid w:val="00E95AEE"/>
    <w:rsid w:val="00EC292E"/>
    <w:rsid w:val="00ED6D6F"/>
    <w:rsid w:val="00F80E62"/>
    <w:rsid w:val="00F91F84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4CC1"/>
    <w:rPr>
      <w:rFonts w:ascii="Calibri" w:hAnsi="Calibri" w:cs="Times New Roman"/>
      <w:sz w:val="22"/>
      <w:szCs w:val="22"/>
      <w:lang w:val="uk-UA" w:eastAsia="en-US"/>
    </w:rPr>
  </w:style>
  <w:style w:type="paragraph" w:styleId="a7">
    <w:name w:val="Normal (Web)"/>
    <w:basedOn w:val="a"/>
    <w:uiPriority w:val="99"/>
    <w:unhideWhenUsed/>
    <w:rsid w:val="00BE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A21F20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4CC1"/>
    <w:rPr>
      <w:rFonts w:ascii="Calibri" w:hAnsi="Calibri" w:cs="Times New Roman"/>
      <w:sz w:val="22"/>
      <w:szCs w:val="22"/>
      <w:lang w:val="uk-UA" w:eastAsia="en-US"/>
    </w:rPr>
  </w:style>
  <w:style w:type="paragraph" w:styleId="a7">
    <w:name w:val="Normal (Web)"/>
    <w:basedOn w:val="a"/>
    <w:uiPriority w:val="99"/>
    <w:unhideWhenUsed/>
    <w:rsid w:val="00BE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A21F20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583D8E983AF40B07E703FB7C5586A" ma:contentTypeVersion="12" ma:contentTypeDescription="Create a new document." ma:contentTypeScope="" ma:versionID="830cdddefd2519b691e627c285b9ce2a">
  <xsd:schema xmlns:xsd="http://www.w3.org/2001/XMLSchema" xmlns:xs="http://www.w3.org/2001/XMLSchema" xmlns:p="http://schemas.microsoft.com/office/2006/metadata/properties" xmlns:ns2="2f4b80c1-a2ea-4a94-9774-0411920232d1" xmlns:ns3="4a1cf6f8-1c76-49de-870e-5d56a0c6cce2" targetNamespace="http://schemas.microsoft.com/office/2006/metadata/properties" ma:root="true" ma:fieldsID="0edb5e73ba90d52774107419d3201865" ns2:_="" ns3:_="">
    <xsd:import namespace="2f4b80c1-a2ea-4a94-9774-0411920232d1"/>
    <xsd:import namespace="4a1cf6f8-1c76-49de-870e-5d56a0c6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80c1-a2ea-4a94-9774-04119202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f6f8-1c76-49de-870e-5d56a0c6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C904C-F34B-48A5-9391-546CCA5A9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80c1-a2ea-4a94-9774-0411920232d1"/>
    <ds:schemaRef ds:uri="4a1cf6f8-1c76-49de-870e-5d56a0c6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BDF12-36BC-4206-962E-0C8B8E34C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Наталія Кучер</cp:lastModifiedBy>
  <cp:revision>4</cp:revision>
  <cp:lastPrinted>2024-08-22T09:12:00Z</cp:lastPrinted>
  <dcterms:created xsi:type="dcterms:W3CDTF">2024-12-07T16:37:00Z</dcterms:created>
  <dcterms:modified xsi:type="dcterms:W3CDTF">2024-12-07T16:58:00Z</dcterms:modified>
</cp:coreProperties>
</file>