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9F" w:rsidRPr="0020539F" w:rsidRDefault="0020539F" w:rsidP="0020539F">
      <w:pPr>
        <w:spacing w:after="0" w:line="240" w:lineRule="auto"/>
        <w:jc w:val="center"/>
        <w:rPr>
          <w:rFonts w:ascii="Times New Roman" w:eastAsia="Times New Roman" w:hAnsi="Times New Roman" w:cs="Times New Roman"/>
          <w:sz w:val="24"/>
          <w:szCs w:val="24"/>
          <w:lang w:eastAsia="uk-UA"/>
        </w:rPr>
      </w:pPr>
      <w:bookmarkStart w:id="0" w:name="_GoBack"/>
      <w:r w:rsidRPr="0020539F">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0539F">
        <w:rPr>
          <w:rFonts w:ascii="Times New Roman" w:eastAsia="Times New Roman" w:hAnsi="Times New Roman" w:cs="Times New Roman"/>
          <w:b/>
          <w:bCs/>
          <w:i/>
          <w:iCs/>
          <w:color w:val="000000"/>
          <w:sz w:val="24"/>
          <w:szCs w:val="24"/>
          <w:lang w:eastAsia="uk-UA"/>
        </w:rPr>
        <w:t> </w:t>
      </w:r>
    </w:p>
    <w:p w:rsidR="0020539F" w:rsidRPr="0020539F" w:rsidRDefault="0020539F" w:rsidP="0020539F">
      <w:pPr>
        <w:spacing w:after="0" w:line="240" w:lineRule="auto"/>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p w:rsidR="0020539F" w:rsidRPr="0020539F" w:rsidRDefault="0020539F" w:rsidP="0020539F">
      <w:pPr>
        <w:spacing w:after="0" w:line="240" w:lineRule="auto"/>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b/>
          <w:bCs/>
          <w:color w:val="000000"/>
          <w:sz w:val="24"/>
          <w:szCs w:val="24"/>
          <w:lang w:eastAsia="uk-UA"/>
        </w:rPr>
        <w:t>М’ясопродукти, код за ДК 021:2015 – 15130000-8</w:t>
      </w:r>
    </w:p>
    <w:bookmarkEnd w:id="0"/>
    <w:p w:rsidR="0020539F" w:rsidRPr="0020539F" w:rsidRDefault="0020539F" w:rsidP="0020539F">
      <w:pPr>
        <w:tabs>
          <w:tab w:val="left" w:pos="284"/>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1.Місце поставки: 22700 вул. Європейська,25 м. </w:t>
      </w:r>
      <w:proofErr w:type="spellStart"/>
      <w:r w:rsidRPr="0020539F">
        <w:rPr>
          <w:rFonts w:ascii="Times New Roman" w:eastAsia="Times New Roman" w:hAnsi="Times New Roman" w:cs="Times New Roman"/>
          <w:color w:val="000000"/>
          <w:sz w:val="24"/>
          <w:szCs w:val="24"/>
          <w:lang w:eastAsia="uk-UA"/>
        </w:rPr>
        <w:t>Іллінці</w:t>
      </w:r>
      <w:proofErr w:type="spellEnd"/>
      <w:r w:rsidRPr="0020539F">
        <w:rPr>
          <w:rFonts w:ascii="Times New Roman" w:eastAsia="Times New Roman" w:hAnsi="Times New Roman" w:cs="Times New Roman"/>
          <w:color w:val="000000"/>
          <w:sz w:val="24"/>
          <w:szCs w:val="24"/>
          <w:lang w:eastAsia="uk-UA"/>
        </w:rPr>
        <w:t xml:space="preserve"> Вінницький р-н, Вінницька область, їдальня коледжу.</w:t>
      </w:r>
    </w:p>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p w:rsidR="0020539F" w:rsidRPr="0020539F" w:rsidRDefault="0020539F" w:rsidP="0020539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160" w:line="256"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2. Кількість, обсяг поставки та інші характеристики товару: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878"/>
        <w:gridCol w:w="1416"/>
        <w:gridCol w:w="1549"/>
        <w:gridCol w:w="2383"/>
      </w:tblGrid>
      <w:tr w:rsidR="0020539F" w:rsidRPr="0020539F" w:rsidTr="00CA6E90">
        <w:trPr>
          <w:trHeight w:val="315"/>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b/>
                <w:bCs/>
                <w:color w:val="000000"/>
                <w:sz w:val="24"/>
                <w:szCs w:val="24"/>
                <w:lang w:eastAsia="uk-UA"/>
              </w:rPr>
              <w:t>Найменування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b/>
                <w:bCs/>
                <w:color w:val="000000"/>
                <w:sz w:val="24"/>
                <w:szCs w:val="24"/>
                <w:lang w:eastAsia="uk-UA"/>
              </w:rPr>
              <w:t>Од. виміру</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b/>
                <w:bCs/>
                <w:color w:val="000000"/>
                <w:sz w:val="24"/>
                <w:szCs w:val="24"/>
                <w:lang w:eastAsia="uk-UA"/>
              </w:rPr>
              <w:t>Кількість</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ind w:right="-295"/>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b/>
                <w:bCs/>
                <w:color w:val="000000"/>
                <w:sz w:val="24"/>
                <w:szCs w:val="24"/>
                <w:lang w:eastAsia="uk-UA"/>
              </w:rPr>
              <w:t xml:space="preserve">Технічні, </w:t>
            </w:r>
          </w:p>
          <w:p w:rsidR="00CA6E90" w:rsidRDefault="0020539F" w:rsidP="0020539F">
            <w:pPr>
              <w:spacing w:after="0" w:line="240" w:lineRule="auto"/>
              <w:ind w:right="-295"/>
              <w:jc w:val="center"/>
              <w:rPr>
                <w:rFonts w:ascii="Times New Roman" w:eastAsia="Times New Roman" w:hAnsi="Times New Roman" w:cs="Times New Roman"/>
                <w:b/>
                <w:bCs/>
                <w:color w:val="000000"/>
                <w:sz w:val="24"/>
                <w:szCs w:val="24"/>
                <w:lang w:eastAsia="uk-UA"/>
              </w:rPr>
            </w:pPr>
            <w:r w:rsidRPr="0020539F">
              <w:rPr>
                <w:rFonts w:ascii="Times New Roman" w:eastAsia="Times New Roman" w:hAnsi="Times New Roman" w:cs="Times New Roman"/>
                <w:b/>
                <w:bCs/>
                <w:color w:val="000000"/>
                <w:sz w:val="24"/>
                <w:szCs w:val="24"/>
                <w:lang w:eastAsia="uk-UA"/>
              </w:rPr>
              <w:t xml:space="preserve">якісні </w:t>
            </w:r>
          </w:p>
          <w:p w:rsidR="0020539F" w:rsidRPr="0020539F" w:rsidRDefault="0020539F" w:rsidP="00CA6E90">
            <w:pPr>
              <w:spacing w:after="0" w:line="240" w:lineRule="auto"/>
              <w:ind w:right="-295"/>
              <w:jc w:val="center"/>
              <w:rPr>
                <w:rFonts w:ascii="Times New Roman" w:eastAsia="Times New Roman" w:hAnsi="Times New Roman" w:cs="Times New Roman"/>
                <w:sz w:val="24"/>
                <w:szCs w:val="24"/>
                <w:lang w:eastAsia="uk-UA"/>
              </w:rPr>
            </w:pPr>
            <w:r w:rsidRPr="0020539F">
              <w:rPr>
                <w:rFonts w:ascii="Times New Roman" w:eastAsia="Times New Roman" w:hAnsi="Times New Roman" w:cs="Times New Roman"/>
                <w:b/>
                <w:bCs/>
                <w:color w:val="000000"/>
                <w:sz w:val="24"/>
                <w:szCs w:val="24"/>
                <w:lang w:eastAsia="uk-UA"/>
              </w:rPr>
              <w:t>характеристики товару</w:t>
            </w:r>
          </w:p>
        </w:tc>
      </w:tr>
      <w:tr w:rsidR="0020539F" w:rsidRPr="0020539F" w:rsidTr="00CA6E90">
        <w:trPr>
          <w:trHeight w:val="1304"/>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1</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Ковбаса копчена 1-ґатунку</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кг</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85</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shd w:val="clear" w:color="auto" w:fill="FFFFFF"/>
                <w:lang w:eastAsia="uk-UA"/>
              </w:rPr>
              <w:t>ДСТУ 4591</w:t>
            </w:r>
          </w:p>
        </w:tc>
      </w:tr>
      <w:tr w:rsidR="0020539F" w:rsidRPr="0020539F" w:rsidTr="00CA6E90">
        <w:trPr>
          <w:trHeight w:val="1304"/>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2</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Ковбаса сирокопчена вищого ґатунку</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кг</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50</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ind w:right="-295"/>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shd w:val="clear" w:color="auto" w:fill="FFFFFF"/>
                <w:lang w:eastAsia="uk-UA"/>
              </w:rPr>
              <w:t>ДСТУ 4427</w:t>
            </w:r>
          </w:p>
        </w:tc>
      </w:tr>
      <w:tr w:rsidR="0020539F" w:rsidRPr="0020539F" w:rsidTr="00CA6E90">
        <w:trPr>
          <w:trHeight w:val="1304"/>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3</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Ковбаса варена вищого ґатунку</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кг</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150</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ind w:right="-295"/>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shd w:val="clear" w:color="auto" w:fill="FFFFFF"/>
                <w:lang w:eastAsia="uk-UA"/>
              </w:rPr>
              <w:t>ДСТУ 4436</w:t>
            </w:r>
          </w:p>
        </w:tc>
      </w:tr>
      <w:tr w:rsidR="0020539F" w:rsidRPr="0020539F" w:rsidTr="00CA6E90">
        <w:trPr>
          <w:trHeight w:val="1304"/>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4</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Сосиски філейні вищого ґатунку</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кг</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1000</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ind w:right="-295"/>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shd w:val="clear" w:color="auto" w:fill="FFFFFF"/>
                <w:lang w:eastAsia="uk-UA"/>
              </w:rPr>
              <w:t>ДСТУ 4436</w:t>
            </w:r>
          </w:p>
        </w:tc>
      </w:tr>
      <w:tr w:rsidR="0020539F" w:rsidRPr="0020539F" w:rsidTr="00CA6E90">
        <w:trPr>
          <w:trHeight w:val="1304"/>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5</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Сардельки філейні вищого ґатунку</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кг</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400</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ind w:right="-295"/>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shd w:val="clear" w:color="auto" w:fill="FFFFFF"/>
                <w:lang w:eastAsia="uk-UA"/>
              </w:rPr>
              <w:t>ДСТУ 4436</w:t>
            </w:r>
          </w:p>
        </w:tc>
      </w:tr>
      <w:tr w:rsidR="0020539F" w:rsidRPr="0020539F" w:rsidTr="00CA6E90">
        <w:trPr>
          <w:trHeight w:val="1304"/>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6</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Грудка куряча копчена фасована у вакуум пакети вагою від 400 грам</w:t>
            </w:r>
          </w:p>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кг</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20</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ind w:right="-295"/>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shd w:val="clear" w:color="auto" w:fill="FFFFFF"/>
                <w:lang w:eastAsia="uk-UA"/>
              </w:rPr>
              <w:t>ТУ виробника</w:t>
            </w:r>
          </w:p>
        </w:tc>
      </w:tr>
      <w:tr w:rsidR="0020539F" w:rsidRPr="0020539F" w:rsidTr="00CA6E90">
        <w:trPr>
          <w:trHeight w:val="1304"/>
          <w:tblCellSpacing w:w="0" w:type="dxa"/>
        </w:trPr>
        <w:tc>
          <w:tcPr>
            <w:tcW w:w="815"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tc>
        <w:tc>
          <w:tcPr>
            <w:tcW w:w="38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Разом</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tc>
        <w:tc>
          <w:tcPr>
            <w:tcW w:w="1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539F" w:rsidRPr="0020539F" w:rsidRDefault="0020539F" w:rsidP="0020539F">
            <w:pPr>
              <w:spacing w:after="0" w:line="240" w:lineRule="auto"/>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1705,00</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20539F" w:rsidRPr="0020539F" w:rsidRDefault="0020539F" w:rsidP="0020539F">
            <w:pPr>
              <w:spacing w:after="0" w:line="240" w:lineRule="auto"/>
              <w:ind w:right="-295"/>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tc>
      </w:tr>
    </w:tbl>
    <w:p w:rsidR="0020539F" w:rsidRPr="0020539F" w:rsidRDefault="0020539F" w:rsidP="0020539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sz w:val="24"/>
          <w:szCs w:val="24"/>
          <w:lang w:eastAsia="uk-UA"/>
        </w:rPr>
        <w:t> </w:t>
      </w:r>
    </w:p>
    <w:p w:rsidR="0020539F" w:rsidRPr="0020539F" w:rsidRDefault="0020539F" w:rsidP="0020539F">
      <w:pPr>
        <w:tabs>
          <w:tab w:val="left" w:pos="142"/>
          <w:tab w:val="left" w:pos="360"/>
        </w:tabs>
        <w:spacing w:after="160" w:line="256"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3.До ціни тендерної пропозиції включаються наступні витрати: </w:t>
      </w:r>
    </w:p>
    <w:p w:rsidR="0020539F" w:rsidRPr="0020539F" w:rsidRDefault="0020539F" w:rsidP="00CA6E90">
      <w:pPr>
        <w:numPr>
          <w:ilvl w:val="0"/>
          <w:numId w:val="1"/>
        </w:numPr>
        <w:tabs>
          <w:tab w:val="left" w:pos="142"/>
          <w:tab w:val="left" w:pos="360"/>
          <w:tab w:val="left" w:pos="426"/>
        </w:tabs>
        <w:spacing w:after="0" w:line="240" w:lineRule="auto"/>
        <w:ind w:left="0" w:firstLine="567"/>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податки і збори, обов’язкові платежі, що сплачуються або мають бути сплачені згідно з чинним законодавством;</w:t>
      </w:r>
    </w:p>
    <w:p w:rsidR="0020539F" w:rsidRPr="0020539F" w:rsidRDefault="0020539F" w:rsidP="00CA6E90">
      <w:pPr>
        <w:numPr>
          <w:ilvl w:val="0"/>
          <w:numId w:val="1"/>
        </w:numPr>
        <w:tabs>
          <w:tab w:val="left" w:pos="142"/>
          <w:tab w:val="left" w:pos="360"/>
        </w:tabs>
        <w:spacing w:after="0" w:line="240" w:lineRule="auto"/>
        <w:ind w:left="0" w:firstLine="567"/>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6витрати на навантаження, розвантаження, поставку до місця поставки (передачі) товару; </w:t>
      </w:r>
    </w:p>
    <w:p w:rsidR="0020539F" w:rsidRPr="0020539F" w:rsidRDefault="0020539F" w:rsidP="00CA6E90">
      <w:pPr>
        <w:numPr>
          <w:ilvl w:val="0"/>
          <w:numId w:val="1"/>
        </w:numPr>
        <w:tabs>
          <w:tab w:val="left" w:pos="142"/>
          <w:tab w:val="left" w:pos="360"/>
          <w:tab w:val="left" w:pos="426"/>
        </w:tabs>
        <w:spacing w:after="0" w:line="240" w:lineRule="auto"/>
        <w:ind w:left="0" w:firstLine="567"/>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lastRenderedPageBreak/>
        <w:t>інші витрати, передбачені для товару даного виду згідно з чинним законодавством та тендерною документацією.</w:t>
      </w:r>
    </w:p>
    <w:p w:rsidR="0020539F" w:rsidRPr="0020539F" w:rsidRDefault="0020539F" w:rsidP="0020539F">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4.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20539F" w:rsidRPr="0020539F" w:rsidRDefault="0020539F" w:rsidP="0020539F">
      <w:pPr>
        <w:tabs>
          <w:tab w:val="left" w:pos="993"/>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5. Бюджетні зобов’язання за договором виникають у разі наявності та в межах відповідних бюджетних асигнувань. </w:t>
      </w:r>
      <w:r w:rsidRPr="0020539F">
        <w:rPr>
          <w:rFonts w:ascii="Times New Roman" w:eastAsia="Times New Roman" w:hAnsi="Times New Roman" w:cs="Times New Roman"/>
          <w:color w:val="000000"/>
          <w:sz w:val="23"/>
          <w:szCs w:val="23"/>
          <w:lang w:eastAsia="uk-UA"/>
        </w:rPr>
        <w:t>За умовами цієї тендерної документації оплата за поставлену продукцію здійснюється протягом 14 календарних днів, з можливою відстрочкою до 30 календарних днів.</w:t>
      </w:r>
    </w:p>
    <w:p w:rsidR="0020539F" w:rsidRPr="0020539F" w:rsidRDefault="0020539F" w:rsidP="0020539F">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6. 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w:t>
      </w:r>
    </w:p>
    <w:p w:rsidR="0020539F" w:rsidRPr="0020539F" w:rsidRDefault="0020539F" w:rsidP="0020539F">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копії декларації виробника (посвідчення про якість) на запропонований товар та/або протоколи випробувань завірені печаткою виробника, або інший документ, що підтверджує якість запропонованого товару відповідно до вимог чинного законодавства України. Якість предмета закупівлі має відповідати чинним державним стандартам України;</w:t>
      </w:r>
    </w:p>
    <w:p w:rsidR="0020539F" w:rsidRPr="0020539F" w:rsidRDefault="0020539F" w:rsidP="0020539F">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копію оригіналу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rsidR="0020539F" w:rsidRPr="0020539F" w:rsidRDefault="0020539F" w:rsidP="0020539F">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копію оригіналу діючого договору про надання послуг з дезінфекції/санітарної обробки автотранспорту та дезінфекції, дератизації та дезінсекції складського приміщення. На підтвердження виконання даного пункту надати акти виконаних робіт за останні три місяці відносно дати проведення аукціону.</w:t>
      </w:r>
    </w:p>
    <w:p w:rsidR="0020539F" w:rsidRPr="0020539F" w:rsidRDefault="0020539F" w:rsidP="0020539F">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7. Якщо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а також сканований відповідний договір, що підтверджує правовідносини учасника з особою, яка надала лист про співпрацю. </w:t>
      </w:r>
    </w:p>
    <w:p w:rsidR="0020539F" w:rsidRPr="0020539F" w:rsidRDefault="0020539F" w:rsidP="0020539F">
      <w:pPr>
        <w:tabs>
          <w:tab w:val="left" w:pos="142"/>
          <w:tab w:val="left" w:pos="360"/>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8. Поставка (передача) товару здійснюється дрібними партіями транспортом учасника-переможця (</w:t>
      </w:r>
      <w:r w:rsidRPr="0020539F">
        <w:rPr>
          <w:rFonts w:ascii="Times New Roman" w:eastAsia="Times New Roman" w:hAnsi="Times New Roman" w:cs="Times New Roman"/>
          <w:i/>
          <w:iCs/>
          <w:color w:val="000000"/>
          <w:sz w:val="24"/>
          <w:szCs w:val="24"/>
          <w:lang w:eastAsia="uk-UA"/>
        </w:rPr>
        <w:t>спеціально обладнаним транспортом учасника-переможця з дотриманням санітарно-гігієнічних умов зберігання та перевезення товару, транспорт повинен мати своєчасне проходження санітарної обробки автомобіля</w:t>
      </w:r>
      <w:r w:rsidRPr="0020539F">
        <w:rPr>
          <w:rFonts w:ascii="Times New Roman" w:eastAsia="Times New Roman" w:hAnsi="Times New Roman" w:cs="Times New Roman"/>
          <w:color w:val="000000"/>
          <w:sz w:val="24"/>
          <w:szCs w:val="24"/>
          <w:lang w:eastAsia="uk-UA"/>
        </w:rPr>
        <w:t>), згідно наданих заявок замовником. Учасник повинен додатково надати в складі тендерної пропозиції гарантійний лист щодо забезпечення поставки товару строку (терміну) поставки (передачі) товарів у 2023 році, передбаченого замовником при закупівлі, згідно наданих заявок замовником, а також зазначити можливість поставки дрібними партіями.</w:t>
      </w:r>
    </w:p>
    <w:p w:rsidR="0020539F" w:rsidRPr="0020539F" w:rsidRDefault="0020539F" w:rsidP="0020539F">
      <w:pPr>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9. Товар при поставці повинен супроводжуватись документами, що підтверджують якість та безпеку (у передбачених законодавством випадках).</w:t>
      </w:r>
    </w:p>
    <w:p w:rsidR="0020539F" w:rsidRPr="0020539F" w:rsidRDefault="0020539F" w:rsidP="0020539F">
      <w:pPr>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10. Тара, упаковка: товар повинен передаватися Замовнику в упаковці, яка відповідає характеру тари, забезпечує цілісність та збереження його якості під час перевезення. Кожна одиниця упаковки забезпечується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20539F" w:rsidRPr="0020539F" w:rsidRDefault="0020539F" w:rsidP="0020539F">
      <w:pPr>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11. Термін придатності до закінчення реалізації повинен складати не менше 90 % від основного терміну придатності.</w:t>
      </w:r>
    </w:p>
    <w:p w:rsidR="0020539F" w:rsidRPr="0020539F" w:rsidRDefault="0020539F" w:rsidP="0020539F">
      <w:pPr>
        <w:widowControl w:val="0"/>
        <w:tabs>
          <w:tab w:val="left" w:pos="229"/>
        </w:tabs>
        <w:spacing w:after="0" w:line="240" w:lineRule="auto"/>
        <w:ind w:right="126"/>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12.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w:t>
      </w:r>
    </w:p>
    <w:p w:rsidR="0020539F" w:rsidRPr="0020539F" w:rsidRDefault="0020539F" w:rsidP="0020539F">
      <w:pPr>
        <w:widowControl w:val="0"/>
        <w:tabs>
          <w:tab w:val="left" w:pos="229"/>
        </w:tabs>
        <w:spacing w:after="0" w:line="240" w:lineRule="auto"/>
        <w:ind w:right="126"/>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13. 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w:t>
      </w:r>
      <w:r w:rsidRPr="0020539F">
        <w:rPr>
          <w:rFonts w:ascii="Times New Roman" w:eastAsia="Times New Roman" w:hAnsi="Times New Roman" w:cs="Times New Roman"/>
          <w:color w:val="000000"/>
          <w:sz w:val="24"/>
          <w:szCs w:val="24"/>
          <w:lang w:eastAsia="uk-UA"/>
        </w:rPr>
        <w:lastRenderedPageBreak/>
        <w:t>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20539F" w:rsidRPr="0020539F" w:rsidRDefault="0020539F" w:rsidP="0020539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14. Строк (термін) поставки (передачі) товару: </w:t>
      </w:r>
      <w:r w:rsidRPr="0020539F">
        <w:rPr>
          <w:rFonts w:ascii="Times New Roman" w:eastAsia="Times New Roman" w:hAnsi="Times New Roman" w:cs="Times New Roman"/>
          <w:b/>
          <w:bCs/>
          <w:color w:val="000000"/>
          <w:sz w:val="24"/>
          <w:szCs w:val="24"/>
          <w:lang w:eastAsia="uk-UA"/>
        </w:rPr>
        <w:t xml:space="preserve">З дати </w:t>
      </w:r>
      <w:proofErr w:type="spellStart"/>
      <w:r w:rsidRPr="0020539F">
        <w:rPr>
          <w:rFonts w:ascii="Times New Roman" w:eastAsia="Times New Roman" w:hAnsi="Times New Roman" w:cs="Times New Roman"/>
          <w:b/>
          <w:bCs/>
          <w:color w:val="000000"/>
          <w:sz w:val="24"/>
          <w:szCs w:val="24"/>
          <w:lang w:eastAsia="uk-UA"/>
        </w:rPr>
        <w:t>заключення</w:t>
      </w:r>
      <w:proofErr w:type="spellEnd"/>
      <w:r w:rsidRPr="0020539F">
        <w:rPr>
          <w:rFonts w:ascii="Times New Roman" w:eastAsia="Times New Roman" w:hAnsi="Times New Roman" w:cs="Times New Roman"/>
          <w:b/>
          <w:bCs/>
          <w:color w:val="000000"/>
          <w:sz w:val="24"/>
          <w:szCs w:val="24"/>
          <w:lang w:eastAsia="uk-UA"/>
        </w:rPr>
        <w:t xml:space="preserve"> договору до 31.12.2023 включно.</w:t>
      </w:r>
    </w:p>
    <w:p w:rsidR="0020539F" w:rsidRPr="0020539F" w:rsidRDefault="0020539F" w:rsidP="0020539F">
      <w:pPr>
        <w:spacing w:after="0" w:line="240" w:lineRule="auto"/>
        <w:jc w:val="both"/>
        <w:rPr>
          <w:rFonts w:ascii="Times New Roman" w:eastAsia="Times New Roman" w:hAnsi="Times New Roman" w:cs="Times New Roman"/>
          <w:sz w:val="24"/>
          <w:szCs w:val="24"/>
          <w:lang w:eastAsia="uk-UA"/>
        </w:rPr>
      </w:pPr>
      <w:r w:rsidRPr="0020539F">
        <w:rPr>
          <w:rFonts w:ascii="Times New Roman" w:eastAsia="Times New Roman" w:hAnsi="Times New Roman" w:cs="Times New Roman"/>
          <w:color w:val="000000"/>
          <w:sz w:val="24"/>
          <w:szCs w:val="24"/>
          <w:lang w:eastAsia="uk-UA"/>
        </w:rPr>
        <w:t xml:space="preserve">15. Обґрунтування очікуваної вартості предмету закупівлі, розміру бюджетного призначення: Очікувану вартість предмету закупівлі: </w:t>
      </w:r>
      <w:r w:rsidRPr="0020539F">
        <w:rPr>
          <w:rFonts w:ascii="Times New Roman" w:eastAsia="Times New Roman" w:hAnsi="Times New Roman" w:cs="Times New Roman"/>
          <w:b/>
          <w:bCs/>
          <w:color w:val="000000"/>
          <w:sz w:val="24"/>
          <w:szCs w:val="24"/>
          <w:lang w:eastAsia="uk-UA"/>
        </w:rPr>
        <w:t>М’ясопродукти, код за ДК 021:2015 – 15130000-8 </w:t>
      </w:r>
      <w:r w:rsidRPr="0020539F">
        <w:rPr>
          <w:rFonts w:ascii="Times New Roman" w:eastAsia="Times New Roman" w:hAnsi="Times New Roman" w:cs="Times New Roman"/>
          <w:color w:val="000000"/>
          <w:sz w:val="24"/>
          <w:szCs w:val="24"/>
          <w:lang w:eastAsia="uk-UA"/>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 в 2023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 та становить </w:t>
      </w:r>
      <w:r w:rsidRPr="0020539F">
        <w:rPr>
          <w:rFonts w:ascii="Times New Roman" w:eastAsia="Times New Roman" w:hAnsi="Times New Roman" w:cs="Times New Roman"/>
          <w:b/>
          <w:bCs/>
          <w:color w:val="000000"/>
          <w:sz w:val="24"/>
          <w:szCs w:val="24"/>
          <w:lang w:eastAsia="uk-UA"/>
        </w:rPr>
        <w:t xml:space="preserve">260000,00 </w:t>
      </w:r>
      <w:proofErr w:type="spellStart"/>
      <w:r w:rsidRPr="0020539F">
        <w:rPr>
          <w:rFonts w:ascii="Times New Roman" w:eastAsia="Times New Roman" w:hAnsi="Times New Roman" w:cs="Times New Roman"/>
          <w:b/>
          <w:bCs/>
          <w:color w:val="000000"/>
          <w:sz w:val="24"/>
          <w:szCs w:val="24"/>
          <w:lang w:eastAsia="uk-UA"/>
        </w:rPr>
        <w:t>грн</w:t>
      </w:r>
      <w:proofErr w:type="spellEnd"/>
      <w:r w:rsidRPr="0020539F">
        <w:rPr>
          <w:rFonts w:ascii="Times New Roman" w:eastAsia="Times New Roman" w:hAnsi="Times New Roman" w:cs="Times New Roman"/>
          <w:b/>
          <w:bCs/>
          <w:color w:val="000000"/>
          <w:sz w:val="24"/>
          <w:szCs w:val="24"/>
          <w:lang w:eastAsia="uk-UA"/>
        </w:rPr>
        <w:t xml:space="preserve"> (двісті шістдесят тисяч гривень 00 коп.) з ПДВ</w:t>
      </w:r>
      <w:r w:rsidRPr="0020539F">
        <w:rPr>
          <w:rFonts w:ascii="Times New Roman" w:eastAsia="Times New Roman" w:hAnsi="Times New Roman" w:cs="Times New Roman"/>
          <w:color w:val="000000"/>
          <w:sz w:val="24"/>
          <w:szCs w:val="24"/>
          <w:lang w:eastAsia="uk-UA"/>
        </w:rPr>
        <w:t xml:space="preserve">. </w:t>
      </w:r>
    </w:p>
    <w:p w:rsidR="00FC5400" w:rsidRDefault="00FC5400"/>
    <w:sectPr w:rsidR="00FC5400" w:rsidSect="00CA6E9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663"/>
    <w:multiLevelType w:val="multilevel"/>
    <w:tmpl w:val="7410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E7"/>
    <w:rsid w:val="0020539F"/>
    <w:rsid w:val="007B49E7"/>
    <w:rsid w:val="00CA6E90"/>
    <w:rsid w:val="00FC5400"/>
    <w:rsid w:val="00FE0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К17</dc:creator>
  <cp:lastModifiedBy>Наталія Кучер</cp:lastModifiedBy>
  <cp:revision>2</cp:revision>
  <dcterms:created xsi:type="dcterms:W3CDTF">2023-04-27T08:23:00Z</dcterms:created>
  <dcterms:modified xsi:type="dcterms:W3CDTF">2023-04-27T08:23:00Z</dcterms:modified>
</cp:coreProperties>
</file>