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F4" w:rsidRPr="00A505F4" w:rsidRDefault="00A505F4" w:rsidP="00A5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A50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</w:p>
    <w:p w:rsidR="00A505F4" w:rsidRPr="00A505F4" w:rsidRDefault="00A505F4" w:rsidP="00A5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05F4" w:rsidRPr="00A505F4" w:rsidRDefault="00A505F4" w:rsidP="00A50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Азотні добрива</w:t>
      </w: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код за ДК 021:2015 - </w:t>
      </w: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24410000-1 Азотні добрива</w:t>
      </w:r>
    </w:p>
    <w:p w:rsidR="00A505F4" w:rsidRPr="00A505F4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05F4" w:rsidRPr="00A505F4" w:rsidRDefault="00A505F4" w:rsidP="00A505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1.Місце поставки: </w:t>
      </w:r>
    </w:p>
    <w:p w:rsidR="00A505F4" w:rsidRPr="00A505F4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Місце поставки продукції за Лот 1: </w:t>
      </w:r>
    </w:p>
    <w:p w:rsidR="00A505F4" w:rsidRPr="00A505F4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22712, Вінницька область, Вінницький район, село </w:t>
      </w:r>
      <w:proofErr w:type="spellStart"/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Романово-Хутір</w:t>
      </w:r>
      <w:proofErr w:type="spellEnd"/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вул. Миру, 43 в,</w:t>
      </w:r>
    </w:p>
    <w:p w:rsidR="00A505F4" w:rsidRPr="00A505F4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05F4" w:rsidRPr="00A505F4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поставки продукції за Лот 2: 22712, Вінницька область, Вінницький район, урочище Хмельове</w:t>
      </w:r>
    </w:p>
    <w:p w:rsidR="00A505F4" w:rsidRPr="00A505F4" w:rsidRDefault="00A505F4" w:rsidP="00A5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05F4" w:rsidRPr="00A505F4" w:rsidRDefault="00A505F4" w:rsidP="00A5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Кількість, обсяг поставки та інші характеристики товару: </w:t>
      </w:r>
    </w:p>
    <w:p w:rsidR="00A505F4" w:rsidRPr="00A505F4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2.1. Лот 1 Карбамід, Аміачна селітра, Сульфат амонію, код за ДК 021:2015 –  24410000-1 Азотні добрива</w:t>
      </w:r>
    </w:p>
    <w:p w:rsidR="00A505F4" w:rsidRPr="00A505F4" w:rsidRDefault="00A505F4" w:rsidP="00A5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2042"/>
        <w:gridCol w:w="1416"/>
        <w:gridCol w:w="1308"/>
        <w:gridCol w:w="2940"/>
      </w:tblGrid>
      <w:tr w:rsidR="00A505F4" w:rsidRPr="00A505F4" w:rsidTr="00A505F4">
        <w:trPr>
          <w:trHeight w:val="315"/>
          <w:tblCellSpacing w:w="0" w:type="dxa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Характе-ристики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 виміру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Кіль-кість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Технічні,</w:t>
            </w:r>
          </w:p>
          <w:p w:rsidR="00A505F4" w:rsidRPr="00A505F4" w:rsidRDefault="00A505F4" w:rsidP="00A505F4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якісні </w:t>
            </w:r>
            <w:proofErr w:type="spellStart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характеристи-</w:t>
            </w:r>
            <w:proofErr w:type="spellEnd"/>
          </w:p>
          <w:p w:rsidR="00A505F4" w:rsidRPr="00A505F4" w:rsidRDefault="00A505F4" w:rsidP="00A505F4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товару</w:t>
            </w:r>
          </w:p>
        </w:tc>
      </w:tr>
      <w:tr w:rsidR="00A505F4" w:rsidRPr="00A505F4" w:rsidTr="00A505F4">
        <w:trPr>
          <w:trHeight w:val="1877"/>
          <w:tblCellSpacing w:w="0" w:type="dxa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Карбамід (сечовина)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 46%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ДСТУ 7312:2013 , повноцінне азотне добриво. Зовнішній вигляд – гранули білого кольору без сторонніх механічних домішок. Гранули повинні бути оброблені поверхнево-активною речовиною, яка забезпечує добру сипучість та не злежування товару при зберіганні. Масова доля загального азоту, в розрахунку на N не менше-46,2% . Розсипчастість, %, не менше 99.</w:t>
            </w:r>
          </w:p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Упаковка </w:t>
            </w:r>
            <w:proofErr w:type="spellStart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БіГ-Бег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500 кг</w:t>
            </w:r>
          </w:p>
        </w:tc>
      </w:tr>
      <w:tr w:rsidR="00A505F4" w:rsidRPr="00A505F4" w:rsidTr="00A505F4">
        <w:trPr>
          <w:trHeight w:val="1878"/>
          <w:tblCellSpacing w:w="0" w:type="dxa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Аміачна селітра (нітрат амонію)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 34,4%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ДСТУ 7370:2013 </w:t>
            </w:r>
            <w:proofErr w:type="spellStart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Амммонію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нітрат (селітра </w:t>
            </w:r>
            <w:proofErr w:type="spellStart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аммиачная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 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Зовнішній вигляд</w:t>
            </w: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гранули білого кольору без сторонніх механічних домішок. </w:t>
            </w:r>
          </w:p>
          <w:p w:rsidR="00A505F4" w:rsidRPr="00A505F4" w:rsidRDefault="00A505F4" w:rsidP="00A5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Масова доля загального азоту, в розрахунку на N не менше-34,4%.</w:t>
            </w:r>
          </w:p>
          <w:p w:rsidR="00A505F4" w:rsidRPr="00A505F4" w:rsidRDefault="00A505F4" w:rsidP="00A505F4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uk-UA"/>
              </w:rPr>
              <w:t xml:space="preserve">Гранулометричний склад, % : масова частка гранул розміром від 1 – 4 мм, не менше в тому числі від 2 </w:t>
            </w:r>
            <w:r w:rsidRPr="00A505F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до 4 мм, не менше </w:t>
            </w:r>
            <w:proofErr w:type="spellStart"/>
            <w:r w:rsidRPr="00A505F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uk-UA"/>
              </w:rPr>
              <w:t>менше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uk-UA"/>
              </w:rPr>
              <w:t xml:space="preserve"> 1 мм, не більше</w:t>
            </w:r>
          </w:p>
          <w:p w:rsidR="00A505F4" w:rsidRPr="00A505F4" w:rsidRDefault="00A505F4" w:rsidP="00A5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Розсипчастість, %, не менше 99.</w:t>
            </w:r>
          </w:p>
          <w:p w:rsidR="00A505F4" w:rsidRPr="00A505F4" w:rsidRDefault="00A505F4" w:rsidP="00A505F4">
            <w:pPr>
              <w:spacing w:after="0" w:line="240" w:lineRule="auto"/>
              <w:ind w:right="-29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Упаковка </w:t>
            </w:r>
            <w:proofErr w:type="spellStart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БіГ-Бег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500 кг</w:t>
            </w:r>
          </w:p>
        </w:tc>
      </w:tr>
      <w:tr w:rsidR="00A505F4" w:rsidRPr="00A505F4" w:rsidTr="00A505F4">
        <w:trPr>
          <w:trHeight w:val="1877"/>
          <w:tblCellSpacing w:w="0" w:type="dxa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Сульфа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амонію гранульований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 21%S24%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ГОСТ 9097-82 Зовнішній вигляд – гранули білого або прозорого кольору без сторонніх механічних домішок. Гранули повинні бути оброблені поверхнево-активною речовиною, яка забезпечує добру сипучість та не злежування товару при зберіганні. Масова доля загального азоту, в розрахунку на N не менше-21%</w:t>
            </w:r>
          </w:p>
          <w:p w:rsidR="00A505F4" w:rsidRPr="00A505F4" w:rsidRDefault="00A505F4" w:rsidP="00A505F4">
            <w:pPr>
              <w:spacing w:after="0" w:line="240" w:lineRule="auto"/>
              <w:ind w:right="-29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Упаковка </w:t>
            </w:r>
            <w:proofErr w:type="spellStart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БіГ-Бег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500 кг</w:t>
            </w:r>
          </w:p>
        </w:tc>
      </w:tr>
    </w:tbl>
    <w:p w:rsidR="00A505F4" w:rsidRPr="00A505F4" w:rsidRDefault="00A505F4" w:rsidP="00A5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05F4" w:rsidRPr="00A505F4" w:rsidRDefault="00A505F4" w:rsidP="00A5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A505F4" w:rsidRPr="00A505F4" w:rsidRDefault="00A505F4" w:rsidP="00A505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Лот 2 КАС 32, код за ДК 021:2015 – 24410000-1 Азотні добрива</w:t>
      </w: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381"/>
        <w:gridCol w:w="1417"/>
        <w:gridCol w:w="1559"/>
        <w:gridCol w:w="3261"/>
      </w:tblGrid>
      <w:tr w:rsidR="00A505F4" w:rsidRPr="00A505F4" w:rsidTr="00A505F4">
        <w:trPr>
          <w:trHeight w:val="315"/>
          <w:tblCellSpacing w:w="0" w:type="dxa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Характе-ристики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 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Технічні, </w:t>
            </w:r>
          </w:p>
          <w:p w:rsidR="00A505F4" w:rsidRPr="00A505F4" w:rsidRDefault="00A505F4" w:rsidP="00A505F4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якісні </w:t>
            </w:r>
            <w:proofErr w:type="spellStart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характеристи-</w:t>
            </w:r>
            <w:proofErr w:type="spellEnd"/>
          </w:p>
          <w:p w:rsidR="00A505F4" w:rsidRPr="00A505F4" w:rsidRDefault="00A505F4" w:rsidP="00A505F4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товару</w:t>
            </w:r>
          </w:p>
        </w:tc>
      </w:tr>
      <w:tr w:rsidR="00A505F4" w:rsidRPr="00A505F4" w:rsidTr="00A505F4">
        <w:trPr>
          <w:trHeight w:val="1877"/>
          <w:tblCellSpacing w:w="0" w:type="dxa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564F72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A505F4" w:rsidRPr="00A505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uk-UA"/>
                </w:rPr>
                <w:t>КАС32</w:t>
              </w:r>
            </w:hyperlink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 32%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5F4" w:rsidRPr="00A505F4" w:rsidRDefault="00A505F4" w:rsidP="00A505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Зовнішній вигляд  - у </w:t>
            </w: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uk-UA"/>
              </w:rPr>
              <w:t>рідкій формі світло-жовтого кольору</w:t>
            </w:r>
          </w:p>
          <w:p w:rsidR="00A505F4" w:rsidRPr="00A505F4" w:rsidRDefault="00A505F4" w:rsidP="00A505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Масова частка, в %:</w:t>
            </w:r>
          </w:p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загального азоту - 32,0, </w:t>
            </w:r>
          </w:p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карбаміду - 35-37</w:t>
            </w:r>
          </w:p>
          <w:p w:rsidR="00A505F4" w:rsidRPr="00A505F4" w:rsidRDefault="00A505F4" w:rsidP="00A505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аміачної селітри - 43-45</w:t>
            </w:r>
          </w:p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Температура кристалізації,</w:t>
            </w:r>
          </w:p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0 - 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-2</w:t>
            </w:r>
          </w:p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Температура замерзання, </w:t>
            </w:r>
          </w:p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0 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- 26</w:t>
            </w:r>
          </w:p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рН</w:t>
            </w:r>
            <w:proofErr w:type="spellEnd"/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- 8,5-8,9</w:t>
            </w:r>
          </w:p>
          <w:p w:rsidR="00A505F4" w:rsidRPr="00A505F4" w:rsidRDefault="00A505F4" w:rsidP="00A5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Щільність, т/м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3 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   t = 20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0</w:t>
            </w: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 -1,306÷1,326</w:t>
            </w:r>
          </w:p>
          <w:p w:rsidR="00A505F4" w:rsidRPr="00A505F4" w:rsidRDefault="00A505F4" w:rsidP="00A5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Налив у тару Замовника</w:t>
            </w:r>
          </w:p>
        </w:tc>
      </w:tr>
    </w:tbl>
    <w:p w:rsidR="00A505F4" w:rsidRPr="00A505F4" w:rsidRDefault="00A505F4" w:rsidP="00A505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05F4" w:rsidRPr="00A505F4" w:rsidRDefault="00A505F4" w:rsidP="00A505F4">
      <w:pPr>
        <w:tabs>
          <w:tab w:val="left" w:pos="142"/>
          <w:tab w:val="left" w:pos="36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3.До ціни тендерної пропозиції включаються наступні витрати: </w:t>
      </w:r>
    </w:p>
    <w:p w:rsidR="00A505F4" w:rsidRPr="00A505F4" w:rsidRDefault="00A505F4" w:rsidP="00A505F4">
      <w:pPr>
        <w:numPr>
          <w:ilvl w:val="0"/>
          <w:numId w:val="1"/>
        </w:numPr>
        <w:tabs>
          <w:tab w:val="left" w:pos="142"/>
          <w:tab w:val="left" w:pos="360"/>
          <w:tab w:val="left" w:pos="42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A505F4" w:rsidRPr="00A505F4" w:rsidRDefault="00A505F4" w:rsidP="00A505F4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витрати на навантаження, розвантаження, поставку до місця поставки (передачі) товару; </w:t>
      </w:r>
    </w:p>
    <w:p w:rsidR="00A505F4" w:rsidRPr="00A505F4" w:rsidRDefault="00A505F4" w:rsidP="00A505F4">
      <w:pPr>
        <w:numPr>
          <w:ilvl w:val="0"/>
          <w:numId w:val="1"/>
        </w:numPr>
        <w:tabs>
          <w:tab w:val="left" w:pos="142"/>
          <w:tab w:val="left" w:pos="360"/>
          <w:tab w:val="left" w:pos="42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A505F4" w:rsidRPr="00A505F4" w:rsidRDefault="00A505F4" w:rsidP="00A505F4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4.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A505F4" w:rsidRPr="00A505F4" w:rsidRDefault="00A505F4" w:rsidP="00A505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Бюджетні зобов’язання за договором виникають у разі наявності та в межах відповідних бюджетних асигнувань. </w:t>
      </w:r>
      <w:r w:rsidRPr="00A505F4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 умовами цієї тендерної документації оплата за поставлену продукцію здійснюється протягом 14 календарних днів, з можливою відстрочкою до 30 календарних днів.</w:t>
      </w:r>
    </w:p>
    <w:p w:rsidR="00A505F4" w:rsidRPr="00A505F4" w:rsidRDefault="00A505F4" w:rsidP="00A505F4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Учасник процедури закупівлі повинен надати в складі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саме: </w:t>
      </w:r>
    </w:p>
    <w:p w:rsidR="00A505F4" w:rsidRPr="00A505F4" w:rsidRDefault="00A505F4" w:rsidP="00A505F4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копії декларації виробника (посвідчення про якість) на запропонований товар та/або протоколи випробувань завірені печаткою виробника, або інший документ, що підтверджує якість запропонованого товару відповідно до вимог чинного законодавства України. Якість предмета закупівлі має відповідати чинним державним стандартам України;</w:t>
      </w:r>
    </w:p>
    <w:p w:rsidR="00A505F4" w:rsidRPr="00A505F4" w:rsidRDefault="00A505F4" w:rsidP="00A505F4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Якщо Постачальник не є виробником, в обов’язковому порядку подає у складі пропозиції лист про співпрацю від виробника, представника, дилера, агента, продавця, у якого Постачальник отримує товар, що планує постачати у випадку перемоги Замовнику, а також сканований відповідний договір, що підтверджує правовідносини учасника з особою, яка надала лист про співпрацю. </w:t>
      </w:r>
    </w:p>
    <w:p w:rsidR="00A505F4" w:rsidRPr="00A505F4" w:rsidRDefault="00A505F4" w:rsidP="00A505F4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Поставка (передача) товару здійснюється партіями транспортом учасника-переможця (</w:t>
      </w:r>
      <w:r w:rsidRPr="00A505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спеціально обладнаним транспортом учасника-переможця з дотриманням санітарно-екологічних умов зберігання та перевезення товару), </w:t>
      </w: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наданих заявок замовником. Учасник повинен додатково надати в складі тендерної пропозиції гарантійний лист щодо забезпечення поставки товару строку (терміну) поставки (передачі) товарів у 2023 році, передбаченого замовником при закупівлі, згідно наданих заявок замовником.</w:t>
      </w:r>
    </w:p>
    <w:p w:rsidR="00A505F4" w:rsidRPr="00A505F4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Товар при поставці повинен супроводжуватись документами, що підтверджують якість та безпеку (у передбачених законодавством випадках).</w:t>
      </w:r>
    </w:p>
    <w:p w:rsidR="00A505F4" w:rsidRPr="00A505F4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Тара (</w:t>
      </w:r>
      <w:proofErr w:type="spellStart"/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бігбег</w:t>
      </w:r>
      <w:proofErr w:type="spellEnd"/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): товар повинен передаватися Замовнику в тарі, яка відповідає характеру товару, забезпечує цілісність та збереження його якості під час перевезення. Кожна одиниця тари забезпечується маркувальним ярликом: назва, </w:t>
      </w:r>
      <w:proofErr w:type="spellStart"/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</w:t>
      </w:r>
      <w:proofErr w:type="spellEnd"/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адреса підприємства-виробника, вага нетто, склад, дата виготовлення, термін придатності та умови зберігання, що має бути зазначено на упаковці.</w:t>
      </w:r>
    </w:p>
    <w:p w:rsidR="00A505F4" w:rsidRPr="00A505F4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Термін придатності до закінчення реалізації повинен складати не менше 90 % від основного терміну придатності.</w:t>
      </w:r>
    </w:p>
    <w:p w:rsidR="00A505F4" w:rsidRPr="00A505F4" w:rsidRDefault="00A505F4" w:rsidP="00A505F4">
      <w:pPr>
        <w:widowControl w:val="0"/>
        <w:tabs>
          <w:tab w:val="left" w:pos="229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товару. </w:t>
      </w:r>
    </w:p>
    <w:p w:rsidR="00A505F4" w:rsidRPr="00A505F4" w:rsidRDefault="00A505F4" w:rsidP="00A505F4">
      <w:pPr>
        <w:widowControl w:val="0"/>
        <w:tabs>
          <w:tab w:val="left" w:pos="229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13. Строк (термін) поставки (передачі) товару: </w:t>
      </w: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 дати </w:t>
      </w:r>
      <w:proofErr w:type="spellStart"/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заключення</w:t>
      </w:r>
      <w:proofErr w:type="spellEnd"/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договору по 31.12.2023р. включно.</w:t>
      </w:r>
    </w:p>
    <w:p w:rsidR="00564F72" w:rsidRPr="00564F72" w:rsidRDefault="00A505F4" w:rsidP="00A5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15. </w:t>
      </w:r>
      <w:r w:rsidRPr="00564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очікуваної вартості предмету закупівлі, розміру бюджетного призначення:</w:t>
      </w:r>
    </w:p>
    <w:p w:rsidR="00A505F4" w:rsidRPr="00A505F4" w:rsidRDefault="00A505F4" w:rsidP="00564F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Очікувану вартість предмету закупівлі: </w:t>
      </w: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Азотні добрива</w:t>
      </w: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код за ДК 021:2015 - </w:t>
      </w: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24410000-1 Азотні добрива, </w:t>
      </w: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визначено з урахуванням «Примірної методики визначення очікуваної вартості предмету закупівлі» затвердженої Наказом Мінекономіки від 18.02.2020 № 275, шляхом використання методу «порівняння ринкових цін» (товарів з технічними та якісними характеристиками що відповідають предмету закупівлі) та застосування очікуваного індексу інфляції в 2023 році. Розмір бюджетного призначення зі спеціального фонду бюджету коледжу (власні надходження від господарської діяльності) сформований з урахуванням наявної потреби в закупівлі даного виду товару та становить </w:t>
      </w:r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5278700,00 </w:t>
      </w:r>
      <w:proofErr w:type="spellStart"/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грн</w:t>
      </w:r>
      <w:proofErr w:type="spellEnd"/>
      <w:r w:rsidRPr="00A50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(п’ять мільйонів двісті сімдесят вісім тисяч сімсот гривень 00 коп.) з ПДВ</w:t>
      </w:r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числі, ЛОТ 1 – 4255700,00 </w:t>
      </w:r>
      <w:proofErr w:type="spellStart"/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proofErr w:type="spellEnd"/>
      <w:r w:rsidRPr="00A505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ЛОТ 2 – 1023000,00 грн.</w:t>
      </w:r>
    </w:p>
    <w:p w:rsidR="00917A50" w:rsidRDefault="00917A50"/>
    <w:sectPr w:rsidR="00917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33"/>
    <w:multiLevelType w:val="multilevel"/>
    <w:tmpl w:val="E22E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7"/>
    <w:rsid w:val="00564F72"/>
    <w:rsid w:val="00917A50"/>
    <w:rsid w:val="00A505F4"/>
    <w:rsid w:val="00B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zakupki.prom.ua/cabinet/ecatalog/gov/view/6036636e22dde5dabaafb5e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dc:description/>
  <cp:lastModifiedBy>Наталія Кучер</cp:lastModifiedBy>
  <cp:revision>4</cp:revision>
  <dcterms:created xsi:type="dcterms:W3CDTF">2023-04-27T12:48:00Z</dcterms:created>
  <dcterms:modified xsi:type="dcterms:W3CDTF">2023-05-03T07:00:00Z</dcterms:modified>
</cp:coreProperties>
</file>